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7FF4" w14:textId="77777777" w:rsidR="00AC19C5" w:rsidRPr="00D56E98" w:rsidRDefault="00FA63B3" w:rsidP="00FA63B3">
      <w:pPr>
        <w:jc w:val="both"/>
        <w:rPr>
          <w:rFonts w:ascii="Calibri" w:hAnsi="Calibri" w:cs="Calibri"/>
          <w:b/>
          <w:bCs/>
          <w:sz w:val="24"/>
          <w:szCs w:val="24"/>
          <w:u w:val="single"/>
          <w:shd w:val="clear" w:color="auto" w:fill="FFFFFF"/>
        </w:rPr>
      </w:pPr>
      <w:r w:rsidRPr="00D56E98">
        <w:rPr>
          <w:rFonts w:ascii="Calibri" w:hAnsi="Calibri" w:cs="Calibri"/>
          <w:b/>
          <w:bCs/>
          <w:sz w:val="24"/>
          <w:szCs w:val="24"/>
          <w:u w:val="single"/>
          <w:shd w:val="clear" w:color="auto" w:fill="FFFFFF"/>
        </w:rPr>
        <w:t xml:space="preserve">PROGRAM SZKOLENIA: </w:t>
      </w:r>
    </w:p>
    <w:p w14:paraId="41ED9620" w14:textId="76351084" w:rsidR="00FA63B3" w:rsidRPr="00D56E98" w:rsidRDefault="00FA63B3" w:rsidP="00FA63B3">
      <w:pPr>
        <w:jc w:val="both"/>
        <w:rPr>
          <w:b/>
          <w:bCs/>
          <w:color w:val="FF0000"/>
          <w:sz w:val="24"/>
          <w:szCs w:val="24"/>
        </w:rPr>
      </w:pPr>
      <w:r w:rsidRPr="00D56E98">
        <w:rPr>
          <w:b/>
          <w:bCs/>
          <w:sz w:val="24"/>
          <w:szCs w:val="24"/>
        </w:rPr>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r w:rsidR="00AC19C5" w:rsidRPr="00D56E98">
        <w:rPr>
          <w:b/>
          <w:bCs/>
          <w:sz w:val="24"/>
          <w:szCs w:val="24"/>
        </w:rPr>
        <w:t xml:space="preserve"> </w:t>
      </w:r>
      <w:r w:rsidR="00AC19C5" w:rsidRPr="00D56E98">
        <w:rPr>
          <w:b/>
          <w:bCs/>
          <w:color w:val="FF0000"/>
          <w:sz w:val="24"/>
          <w:szCs w:val="24"/>
        </w:rPr>
        <w:t>Szkolenie on-line.</w:t>
      </w:r>
    </w:p>
    <w:p w14:paraId="57B1E578" w14:textId="52A514ED" w:rsidR="00FA63B3" w:rsidRPr="00D56E98" w:rsidRDefault="00FA63B3" w:rsidP="00FA63B3">
      <w:pPr>
        <w:rPr>
          <w:rFonts w:ascii="Calibri" w:hAnsi="Calibri" w:cs="Calibri"/>
          <w:b/>
          <w:bCs/>
          <w:sz w:val="24"/>
          <w:szCs w:val="24"/>
          <w:shd w:val="clear" w:color="auto" w:fill="FFFFFF"/>
        </w:rPr>
      </w:pPr>
    </w:p>
    <w:tbl>
      <w:tblPr>
        <w:tblStyle w:val="Tabela-Siatka"/>
        <w:tblW w:w="9639" w:type="dxa"/>
        <w:tblInd w:w="-5" w:type="dxa"/>
        <w:tblLook w:val="04A0" w:firstRow="1" w:lastRow="0" w:firstColumn="1" w:lastColumn="0" w:noHBand="0" w:noVBand="1"/>
      </w:tblPr>
      <w:tblGrid>
        <w:gridCol w:w="1560"/>
        <w:gridCol w:w="8079"/>
      </w:tblGrid>
      <w:tr w:rsidR="00FA63B3" w:rsidRPr="00D56E98" w14:paraId="1D257224" w14:textId="77777777" w:rsidTr="00FA63B3">
        <w:trPr>
          <w:trHeight w:val="255"/>
        </w:trPr>
        <w:tc>
          <w:tcPr>
            <w:tcW w:w="1560" w:type="dxa"/>
          </w:tcPr>
          <w:p w14:paraId="4345FF01" w14:textId="1D3119F5" w:rsidR="00FA63B3" w:rsidRPr="00D56E98" w:rsidRDefault="00FA63B3" w:rsidP="00FA63B3">
            <w:pPr>
              <w:spacing w:after="0"/>
              <w:rPr>
                <w:rFonts w:cstheme="minorHAnsi"/>
                <w:sz w:val="24"/>
                <w:szCs w:val="24"/>
                <w:shd w:val="clear" w:color="auto" w:fill="FFFFFF"/>
              </w:rPr>
            </w:pPr>
            <w:r w:rsidRPr="00D56E98">
              <w:rPr>
                <w:rFonts w:cstheme="minorHAnsi"/>
                <w:sz w:val="24"/>
                <w:szCs w:val="24"/>
                <w:shd w:val="clear" w:color="auto" w:fill="FFFFFF"/>
              </w:rPr>
              <w:t>08.45 – 09.00</w:t>
            </w:r>
          </w:p>
        </w:tc>
        <w:tc>
          <w:tcPr>
            <w:tcW w:w="8079" w:type="dxa"/>
          </w:tcPr>
          <w:p w14:paraId="6F54A406" w14:textId="39159AEE" w:rsidR="00FA63B3" w:rsidRPr="00D56E98" w:rsidRDefault="00AC19C5" w:rsidP="00FA63B3">
            <w:pPr>
              <w:spacing w:after="0"/>
              <w:rPr>
                <w:rFonts w:cstheme="minorHAnsi"/>
                <w:sz w:val="24"/>
                <w:szCs w:val="24"/>
                <w:shd w:val="clear" w:color="auto" w:fill="FFFFFF"/>
              </w:rPr>
            </w:pPr>
            <w:r w:rsidRPr="00D56E98">
              <w:rPr>
                <w:rFonts w:cstheme="minorHAnsi"/>
                <w:sz w:val="24"/>
                <w:szCs w:val="24"/>
                <w:shd w:val="clear" w:color="auto" w:fill="FFFFFF"/>
              </w:rPr>
              <w:t xml:space="preserve">Logowanie na platformie Teams, zgłoszenie obecności, test połączenia. </w:t>
            </w:r>
          </w:p>
        </w:tc>
      </w:tr>
      <w:tr w:rsidR="00FA63B3" w:rsidRPr="00D56E98" w14:paraId="29C7231A" w14:textId="77777777" w:rsidTr="00FA63B3">
        <w:tc>
          <w:tcPr>
            <w:tcW w:w="1560" w:type="dxa"/>
          </w:tcPr>
          <w:p w14:paraId="4098A193" w14:textId="19B07578" w:rsidR="00FA63B3" w:rsidRPr="00D56E98" w:rsidRDefault="00FA63B3" w:rsidP="00FA63B3">
            <w:pPr>
              <w:spacing w:after="0"/>
              <w:rPr>
                <w:rFonts w:cstheme="minorHAnsi"/>
                <w:sz w:val="24"/>
                <w:szCs w:val="24"/>
                <w:shd w:val="clear" w:color="auto" w:fill="FFFFFF"/>
              </w:rPr>
            </w:pPr>
            <w:r w:rsidRPr="00D56E98">
              <w:rPr>
                <w:rFonts w:cstheme="minorHAnsi"/>
                <w:sz w:val="24"/>
                <w:szCs w:val="24"/>
                <w:shd w:val="clear" w:color="auto" w:fill="FFFFFF"/>
              </w:rPr>
              <w:t>09:00 – 09:15</w:t>
            </w:r>
          </w:p>
        </w:tc>
        <w:tc>
          <w:tcPr>
            <w:tcW w:w="8079" w:type="dxa"/>
          </w:tcPr>
          <w:p w14:paraId="573D7E96" w14:textId="1F006F5B" w:rsidR="00FA63B3" w:rsidRPr="00D56E98" w:rsidRDefault="00AC19C5" w:rsidP="00FA63B3">
            <w:pPr>
              <w:spacing w:after="0"/>
              <w:rPr>
                <w:rFonts w:cstheme="minorHAnsi"/>
                <w:sz w:val="24"/>
                <w:szCs w:val="24"/>
                <w:shd w:val="clear" w:color="auto" w:fill="FFFFFF"/>
              </w:rPr>
            </w:pPr>
            <w:r w:rsidRPr="00D56E98">
              <w:rPr>
                <w:rFonts w:cstheme="minorHAnsi"/>
                <w:sz w:val="24"/>
                <w:szCs w:val="24"/>
                <w:shd w:val="clear" w:color="auto" w:fill="FFFFFF"/>
              </w:rPr>
              <w:t>O</w:t>
            </w:r>
            <w:r w:rsidR="00FA63B3" w:rsidRPr="00D56E98">
              <w:rPr>
                <w:rFonts w:cstheme="minorHAnsi"/>
                <w:sz w:val="24"/>
                <w:szCs w:val="24"/>
                <w:shd w:val="clear" w:color="auto" w:fill="FFFFFF"/>
              </w:rPr>
              <w:t xml:space="preserve">mówienie programu </w:t>
            </w:r>
            <w:r w:rsidRPr="00D56E98">
              <w:rPr>
                <w:rFonts w:cstheme="minorHAnsi"/>
                <w:sz w:val="24"/>
                <w:szCs w:val="24"/>
                <w:shd w:val="clear" w:color="auto" w:fill="FFFFFF"/>
              </w:rPr>
              <w:t xml:space="preserve">i organizacji </w:t>
            </w:r>
            <w:r w:rsidR="00FA63B3" w:rsidRPr="00D56E98">
              <w:rPr>
                <w:rFonts w:cstheme="minorHAnsi"/>
                <w:sz w:val="24"/>
                <w:szCs w:val="24"/>
                <w:shd w:val="clear" w:color="auto" w:fill="FFFFFF"/>
              </w:rPr>
              <w:t>szkolenia</w:t>
            </w:r>
            <w:r w:rsidRPr="00D56E98">
              <w:rPr>
                <w:rFonts w:cstheme="minorHAnsi"/>
                <w:sz w:val="24"/>
                <w:szCs w:val="24"/>
                <w:shd w:val="clear" w:color="auto" w:fill="FFFFFF"/>
              </w:rPr>
              <w:t xml:space="preserve">. </w:t>
            </w:r>
          </w:p>
          <w:p w14:paraId="3A7B5DB8" w14:textId="694D7FA5" w:rsidR="00AC19C5" w:rsidRPr="00D56E98" w:rsidRDefault="00AC19C5" w:rsidP="00FA63B3">
            <w:pPr>
              <w:spacing w:after="0"/>
              <w:rPr>
                <w:rFonts w:cstheme="minorHAnsi"/>
                <w:sz w:val="24"/>
                <w:szCs w:val="24"/>
                <w:shd w:val="clear" w:color="auto" w:fill="FFFFFF"/>
              </w:rPr>
            </w:pPr>
            <w:r w:rsidRPr="00D56E98">
              <w:rPr>
                <w:rFonts w:cstheme="minorHAnsi"/>
                <w:sz w:val="24"/>
                <w:szCs w:val="24"/>
                <w:shd w:val="clear" w:color="auto" w:fill="FFFFFF"/>
              </w:rPr>
              <w:t>Przeprowadzenie pretestu – spełnienie wymogów związanych z realizacją projektu.</w:t>
            </w:r>
          </w:p>
        </w:tc>
      </w:tr>
      <w:tr w:rsidR="00FA63B3" w:rsidRPr="00D56E98" w14:paraId="0A514DBC" w14:textId="77777777" w:rsidTr="00FA63B3">
        <w:trPr>
          <w:trHeight w:val="585"/>
        </w:trPr>
        <w:tc>
          <w:tcPr>
            <w:tcW w:w="1560" w:type="dxa"/>
          </w:tcPr>
          <w:p w14:paraId="579A6C51" w14:textId="32A73914" w:rsidR="00FA63B3" w:rsidRPr="00D56E98" w:rsidRDefault="00FA63B3" w:rsidP="00FA63B3">
            <w:pPr>
              <w:spacing w:after="0"/>
              <w:rPr>
                <w:rFonts w:cstheme="minorHAnsi"/>
                <w:sz w:val="24"/>
                <w:szCs w:val="24"/>
                <w:shd w:val="clear" w:color="auto" w:fill="FFFFFF"/>
              </w:rPr>
            </w:pPr>
            <w:r w:rsidRPr="00D56E98">
              <w:rPr>
                <w:rFonts w:cstheme="minorHAnsi"/>
                <w:sz w:val="24"/>
                <w:szCs w:val="24"/>
                <w:shd w:val="clear" w:color="auto" w:fill="FFFFFF"/>
              </w:rPr>
              <w:t>09:15 – 10:30</w:t>
            </w:r>
          </w:p>
        </w:tc>
        <w:tc>
          <w:tcPr>
            <w:tcW w:w="8079" w:type="dxa"/>
          </w:tcPr>
          <w:p w14:paraId="342766D5" w14:textId="2D0E3244" w:rsidR="00AC19C5" w:rsidRPr="00D56E98" w:rsidRDefault="00AC19C5" w:rsidP="00FA63B3">
            <w:pPr>
              <w:spacing w:after="0"/>
              <w:rPr>
                <w:rFonts w:cstheme="minorHAnsi"/>
                <w:sz w:val="24"/>
                <w:szCs w:val="24"/>
                <w:shd w:val="clear" w:color="auto" w:fill="FFFFFF"/>
              </w:rPr>
            </w:pPr>
            <w:r w:rsidRPr="00D56E98">
              <w:rPr>
                <w:rFonts w:cstheme="minorHAnsi"/>
                <w:b/>
                <w:bCs/>
                <w:sz w:val="24"/>
                <w:szCs w:val="24"/>
                <w:shd w:val="clear" w:color="auto" w:fill="FFFFFF"/>
              </w:rPr>
              <w:t>CZĘŚĆ I  Analiza pojęć i zjawisk związanych z dyskryminacją</w:t>
            </w:r>
          </w:p>
          <w:p w14:paraId="5A3A5164" w14:textId="42813BA1" w:rsidR="00FA63B3" w:rsidRPr="00D56E98" w:rsidRDefault="00FA63B3" w:rsidP="00FA63B3">
            <w:pPr>
              <w:spacing w:after="0"/>
              <w:rPr>
                <w:rFonts w:cstheme="minorHAnsi"/>
                <w:sz w:val="24"/>
                <w:szCs w:val="24"/>
                <w:shd w:val="clear" w:color="auto" w:fill="FFFFFF"/>
              </w:rPr>
            </w:pPr>
            <w:r w:rsidRPr="00D56E98">
              <w:rPr>
                <w:rFonts w:cstheme="minorHAnsi"/>
                <w:sz w:val="24"/>
                <w:szCs w:val="24"/>
                <w:shd w:val="clear" w:color="auto" w:fill="FFFFFF"/>
              </w:rPr>
              <w:t>Definicja, źródła, formy  dyskryminacji. Instytucje i organizacje pozarządowe wspierające osoby/grupy dyskryminowane  – prezentacja</w:t>
            </w:r>
            <w:r w:rsidR="00EF22AB">
              <w:rPr>
                <w:rFonts w:cstheme="minorHAnsi"/>
                <w:sz w:val="24"/>
                <w:szCs w:val="24"/>
                <w:shd w:val="clear" w:color="auto" w:fill="FFFFFF"/>
              </w:rPr>
              <w:t>.</w:t>
            </w:r>
            <w:r w:rsidRPr="00D56E98">
              <w:rPr>
                <w:rFonts w:cstheme="minorHAnsi"/>
                <w:sz w:val="24"/>
                <w:szCs w:val="24"/>
                <w:shd w:val="clear" w:color="auto" w:fill="FFFFFF"/>
              </w:rPr>
              <w:t xml:space="preserve"> </w:t>
            </w:r>
          </w:p>
        </w:tc>
      </w:tr>
      <w:tr w:rsidR="00FA63B3" w:rsidRPr="00D56E98" w14:paraId="6940AF7C" w14:textId="77777777" w:rsidTr="00FA63B3">
        <w:trPr>
          <w:trHeight w:val="345"/>
        </w:trPr>
        <w:tc>
          <w:tcPr>
            <w:tcW w:w="1560" w:type="dxa"/>
            <w:shd w:val="clear" w:color="auto" w:fill="D9D9D9" w:themeFill="background1" w:themeFillShade="D9"/>
          </w:tcPr>
          <w:p w14:paraId="3477B59A" w14:textId="06BBE9BF" w:rsidR="00FA63B3" w:rsidRPr="00D56E98" w:rsidRDefault="00FA63B3" w:rsidP="00FA63B3">
            <w:pPr>
              <w:spacing w:after="0"/>
              <w:rPr>
                <w:rFonts w:cstheme="minorHAnsi"/>
                <w:sz w:val="24"/>
                <w:szCs w:val="24"/>
                <w:highlight w:val="lightGray"/>
                <w:shd w:val="clear" w:color="auto" w:fill="FFFFFF"/>
              </w:rPr>
            </w:pPr>
            <w:r w:rsidRPr="00D56E98">
              <w:rPr>
                <w:rFonts w:cstheme="minorHAnsi"/>
                <w:sz w:val="24"/>
                <w:szCs w:val="24"/>
                <w:highlight w:val="lightGray"/>
                <w:shd w:val="clear" w:color="auto" w:fill="FFFFFF"/>
              </w:rPr>
              <w:t>10.30-10.40</w:t>
            </w:r>
          </w:p>
        </w:tc>
        <w:tc>
          <w:tcPr>
            <w:tcW w:w="8079" w:type="dxa"/>
            <w:shd w:val="clear" w:color="auto" w:fill="D9D9D9" w:themeFill="background1" w:themeFillShade="D9"/>
          </w:tcPr>
          <w:p w14:paraId="6F7EA9B0" w14:textId="62A79E4F" w:rsidR="00FA63B3" w:rsidRPr="00D56E98" w:rsidRDefault="00FA63B3" w:rsidP="00FA63B3">
            <w:pPr>
              <w:spacing w:after="0"/>
              <w:rPr>
                <w:rFonts w:cstheme="minorHAnsi"/>
                <w:sz w:val="24"/>
                <w:szCs w:val="24"/>
                <w:highlight w:val="lightGray"/>
                <w:shd w:val="clear" w:color="auto" w:fill="FFFFFF"/>
              </w:rPr>
            </w:pPr>
            <w:r w:rsidRPr="00D56E98">
              <w:rPr>
                <w:rFonts w:cstheme="minorHAnsi"/>
                <w:sz w:val="24"/>
                <w:szCs w:val="24"/>
                <w:highlight w:val="lightGray"/>
                <w:shd w:val="clear" w:color="auto" w:fill="FFFFFF"/>
              </w:rPr>
              <w:t>Przerwa</w:t>
            </w:r>
          </w:p>
        </w:tc>
      </w:tr>
      <w:tr w:rsidR="00FA63B3" w:rsidRPr="00D56E98" w14:paraId="682ED092" w14:textId="77777777" w:rsidTr="00FA63B3">
        <w:tc>
          <w:tcPr>
            <w:tcW w:w="1560" w:type="dxa"/>
          </w:tcPr>
          <w:p w14:paraId="6C1FE80E" w14:textId="77777777" w:rsidR="00FA63B3" w:rsidRPr="00D56E98" w:rsidRDefault="00FA63B3" w:rsidP="00FA63B3">
            <w:pPr>
              <w:spacing w:after="0"/>
              <w:rPr>
                <w:rFonts w:cstheme="minorHAnsi"/>
                <w:sz w:val="24"/>
                <w:szCs w:val="24"/>
                <w:shd w:val="clear" w:color="auto" w:fill="FFFFFF"/>
              </w:rPr>
            </w:pPr>
          </w:p>
          <w:p w14:paraId="1F165B39" w14:textId="35B3F72E" w:rsidR="00FA63B3" w:rsidRPr="00D56E98" w:rsidRDefault="00FA63B3" w:rsidP="00FA63B3">
            <w:pPr>
              <w:spacing w:after="0"/>
              <w:rPr>
                <w:rFonts w:cstheme="minorHAnsi"/>
                <w:sz w:val="24"/>
                <w:szCs w:val="24"/>
                <w:shd w:val="clear" w:color="auto" w:fill="FFFFFF"/>
              </w:rPr>
            </w:pPr>
            <w:r w:rsidRPr="00D56E98">
              <w:rPr>
                <w:rFonts w:cstheme="minorHAnsi"/>
                <w:sz w:val="24"/>
                <w:szCs w:val="24"/>
                <w:shd w:val="clear" w:color="auto" w:fill="FFFFFF"/>
              </w:rPr>
              <w:t>10.40 – 12.10</w:t>
            </w:r>
          </w:p>
        </w:tc>
        <w:tc>
          <w:tcPr>
            <w:tcW w:w="8079" w:type="dxa"/>
          </w:tcPr>
          <w:p w14:paraId="7E056EB6" w14:textId="03334AD6" w:rsidR="00FA63B3" w:rsidRPr="00D56E98" w:rsidRDefault="00FA63B3" w:rsidP="00FA63B3">
            <w:pPr>
              <w:spacing w:after="0"/>
              <w:rPr>
                <w:rFonts w:cstheme="minorHAnsi"/>
                <w:sz w:val="24"/>
                <w:szCs w:val="24"/>
                <w:shd w:val="clear" w:color="auto" w:fill="FFFFFF"/>
              </w:rPr>
            </w:pPr>
            <w:r w:rsidRPr="00D56E98">
              <w:rPr>
                <w:rFonts w:cstheme="minorHAnsi"/>
                <w:sz w:val="24"/>
                <w:szCs w:val="24"/>
                <w:shd w:val="clear" w:color="auto" w:fill="FFFFFF"/>
              </w:rPr>
              <w:t>Standardy krajowe i UE dotyczące zakazu dyskryminacji</w:t>
            </w:r>
            <w:r w:rsidR="00665097" w:rsidRPr="00D56E98">
              <w:rPr>
                <w:rFonts w:cstheme="minorHAnsi"/>
                <w:sz w:val="24"/>
                <w:szCs w:val="24"/>
                <w:shd w:val="clear" w:color="auto" w:fill="FFFFFF"/>
              </w:rPr>
              <w:t>.</w:t>
            </w:r>
            <w:r w:rsidRPr="00D56E98">
              <w:rPr>
                <w:rFonts w:cstheme="minorHAnsi"/>
                <w:sz w:val="24"/>
                <w:szCs w:val="24"/>
                <w:shd w:val="clear" w:color="auto" w:fill="FFFFFF"/>
              </w:rPr>
              <w:t xml:space="preserve"> Charakterystyka dyskryminacji  ze względu na cechy prawnie chronione ze szczególnym uwzględnieniem dyskryminacji ze względu na orientację seksualną.  </w:t>
            </w:r>
          </w:p>
          <w:p w14:paraId="37B6502E" w14:textId="5C41B862" w:rsidR="00FA63B3" w:rsidRPr="00D56E98" w:rsidRDefault="00FA63B3" w:rsidP="00FA63B3">
            <w:pPr>
              <w:spacing w:after="0"/>
              <w:rPr>
                <w:rFonts w:cstheme="minorHAnsi"/>
                <w:sz w:val="24"/>
                <w:szCs w:val="24"/>
                <w:shd w:val="clear" w:color="auto" w:fill="FFFFFF"/>
              </w:rPr>
            </w:pPr>
            <w:r w:rsidRPr="00D56E98">
              <w:rPr>
                <w:rFonts w:cstheme="minorHAnsi"/>
                <w:sz w:val="24"/>
                <w:szCs w:val="24"/>
                <w:shd w:val="clear" w:color="auto" w:fill="FFFFFF"/>
              </w:rPr>
              <w:t>Grupy narażone na dyskryminację i sposoby współpracy z osobami doświadczającymi dyskryminacji.</w:t>
            </w:r>
          </w:p>
        </w:tc>
      </w:tr>
      <w:tr w:rsidR="00FA63B3" w:rsidRPr="00D56E98" w14:paraId="23B8E1D5" w14:textId="77777777" w:rsidTr="00FA63B3">
        <w:tc>
          <w:tcPr>
            <w:tcW w:w="1560" w:type="dxa"/>
            <w:shd w:val="clear" w:color="auto" w:fill="D9D9D9" w:themeFill="background1" w:themeFillShade="D9"/>
          </w:tcPr>
          <w:p w14:paraId="67046567" w14:textId="002A5AA4" w:rsidR="00FA63B3" w:rsidRPr="00D56E98" w:rsidRDefault="00FA63B3" w:rsidP="00FA63B3">
            <w:pPr>
              <w:spacing w:after="0"/>
              <w:rPr>
                <w:rFonts w:cstheme="minorHAnsi"/>
                <w:sz w:val="24"/>
                <w:szCs w:val="24"/>
                <w:highlight w:val="lightGray"/>
                <w:shd w:val="clear" w:color="auto" w:fill="FFFFFF"/>
              </w:rPr>
            </w:pPr>
            <w:r w:rsidRPr="00D56E98">
              <w:rPr>
                <w:rFonts w:cstheme="minorHAnsi"/>
                <w:sz w:val="24"/>
                <w:szCs w:val="24"/>
                <w:highlight w:val="lightGray"/>
                <w:shd w:val="clear" w:color="auto" w:fill="FFFFFF"/>
              </w:rPr>
              <w:t xml:space="preserve">12.10 – 12.20 </w:t>
            </w:r>
          </w:p>
        </w:tc>
        <w:tc>
          <w:tcPr>
            <w:tcW w:w="8079" w:type="dxa"/>
            <w:shd w:val="clear" w:color="auto" w:fill="D9D9D9" w:themeFill="background1" w:themeFillShade="D9"/>
          </w:tcPr>
          <w:p w14:paraId="2EB2FDA1" w14:textId="70F43B2F" w:rsidR="00FA63B3" w:rsidRPr="00D56E98" w:rsidRDefault="00FA63B3" w:rsidP="00FA63B3">
            <w:pPr>
              <w:spacing w:after="0"/>
              <w:rPr>
                <w:rFonts w:cstheme="minorHAnsi"/>
                <w:sz w:val="24"/>
                <w:szCs w:val="24"/>
                <w:highlight w:val="lightGray"/>
                <w:shd w:val="clear" w:color="auto" w:fill="FFFFFF"/>
              </w:rPr>
            </w:pPr>
            <w:r w:rsidRPr="00D56E98">
              <w:rPr>
                <w:rFonts w:cstheme="minorHAnsi"/>
                <w:sz w:val="24"/>
                <w:szCs w:val="24"/>
                <w:highlight w:val="lightGray"/>
                <w:shd w:val="clear" w:color="auto" w:fill="FFFFFF"/>
              </w:rPr>
              <w:t xml:space="preserve">Przerwa </w:t>
            </w:r>
          </w:p>
        </w:tc>
      </w:tr>
      <w:tr w:rsidR="00AC19C5" w:rsidRPr="00D56E98" w14:paraId="06A90830" w14:textId="77777777" w:rsidTr="008110EA">
        <w:trPr>
          <w:trHeight w:val="1344"/>
        </w:trPr>
        <w:tc>
          <w:tcPr>
            <w:tcW w:w="1560" w:type="dxa"/>
          </w:tcPr>
          <w:p w14:paraId="450E7501" w14:textId="77777777" w:rsidR="00AC19C5" w:rsidRPr="00D56E98" w:rsidRDefault="00AC19C5" w:rsidP="00FA63B3">
            <w:pPr>
              <w:spacing w:after="0"/>
              <w:rPr>
                <w:rFonts w:cstheme="minorHAnsi"/>
                <w:sz w:val="24"/>
                <w:szCs w:val="24"/>
                <w:shd w:val="clear" w:color="auto" w:fill="FFFFFF"/>
              </w:rPr>
            </w:pPr>
          </w:p>
          <w:p w14:paraId="06BC61C7" w14:textId="56AB88EB" w:rsidR="00AC19C5" w:rsidRPr="00D56E98" w:rsidRDefault="00AC19C5" w:rsidP="00FA63B3">
            <w:pPr>
              <w:spacing w:after="0"/>
              <w:rPr>
                <w:rFonts w:cstheme="minorHAnsi"/>
                <w:sz w:val="24"/>
                <w:szCs w:val="24"/>
                <w:shd w:val="clear" w:color="auto" w:fill="FFFFFF"/>
              </w:rPr>
            </w:pPr>
            <w:r w:rsidRPr="00D56E98">
              <w:rPr>
                <w:rFonts w:cstheme="minorHAnsi"/>
                <w:sz w:val="24"/>
                <w:szCs w:val="24"/>
                <w:shd w:val="clear" w:color="auto" w:fill="FFFFFF"/>
              </w:rPr>
              <w:t>12.20 – 13.50</w:t>
            </w:r>
          </w:p>
        </w:tc>
        <w:tc>
          <w:tcPr>
            <w:tcW w:w="8079" w:type="dxa"/>
          </w:tcPr>
          <w:p w14:paraId="4A3E9009" w14:textId="77777777" w:rsidR="00AC19C5" w:rsidRPr="00D56E98" w:rsidRDefault="00AC19C5" w:rsidP="00FA63B3">
            <w:pPr>
              <w:spacing w:after="0"/>
              <w:rPr>
                <w:rFonts w:cstheme="minorHAnsi"/>
                <w:b/>
                <w:bCs/>
                <w:sz w:val="24"/>
                <w:szCs w:val="24"/>
                <w:shd w:val="clear" w:color="auto" w:fill="FFFFFF"/>
              </w:rPr>
            </w:pPr>
            <w:r w:rsidRPr="00D56E98">
              <w:rPr>
                <w:rFonts w:cstheme="minorHAnsi"/>
                <w:b/>
                <w:bCs/>
                <w:sz w:val="24"/>
                <w:szCs w:val="24"/>
                <w:shd w:val="clear" w:color="auto" w:fill="FFFFFF"/>
              </w:rPr>
              <w:t xml:space="preserve">CZĘŚĆ II. Przeciwdziałanie dyskryminacji oraz udzielanie pomocy osobom doświadczającym dyskryminacji  </w:t>
            </w:r>
          </w:p>
          <w:p w14:paraId="3889D492" w14:textId="77777777" w:rsidR="00AC19C5" w:rsidRPr="00D56E98" w:rsidRDefault="00AC19C5" w:rsidP="00FA63B3">
            <w:pPr>
              <w:spacing w:after="0"/>
              <w:rPr>
                <w:rFonts w:cstheme="minorHAnsi"/>
                <w:sz w:val="24"/>
                <w:szCs w:val="24"/>
                <w:shd w:val="clear" w:color="auto" w:fill="FFFFFF"/>
              </w:rPr>
            </w:pPr>
            <w:bookmarkStart w:id="0" w:name="_Hlk167877312"/>
            <w:r w:rsidRPr="00D56E98">
              <w:rPr>
                <w:rFonts w:cstheme="minorHAnsi"/>
                <w:sz w:val="24"/>
                <w:szCs w:val="24"/>
                <w:shd w:val="clear" w:color="auto" w:fill="FFFFFF"/>
              </w:rPr>
              <w:t xml:space="preserve">Omówienie wybranych orzeczeń Europejskiego Trybunału Praw Człowieka </w:t>
            </w:r>
            <w:bookmarkEnd w:id="0"/>
            <w:r w:rsidRPr="00D56E98">
              <w:rPr>
                <w:rFonts w:cstheme="minorHAnsi"/>
                <w:sz w:val="24"/>
                <w:szCs w:val="24"/>
                <w:shd w:val="clear" w:color="auto" w:fill="FFFFFF"/>
              </w:rPr>
              <w:t xml:space="preserve">i ich stosowanie w obszarze pomocy i integracji społecznej. </w:t>
            </w:r>
          </w:p>
          <w:p w14:paraId="03FFC805" w14:textId="33BDF531" w:rsidR="00AC19C5" w:rsidRPr="00D56E98" w:rsidRDefault="00AC19C5" w:rsidP="00FA63B3">
            <w:pPr>
              <w:spacing w:after="0"/>
              <w:rPr>
                <w:rFonts w:cstheme="minorHAnsi"/>
                <w:b/>
                <w:bCs/>
                <w:sz w:val="24"/>
                <w:szCs w:val="24"/>
                <w:shd w:val="clear" w:color="auto" w:fill="FFFFFF"/>
              </w:rPr>
            </w:pPr>
            <w:r w:rsidRPr="00D56E98">
              <w:rPr>
                <w:rFonts w:cstheme="minorHAnsi"/>
                <w:sz w:val="24"/>
                <w:szCs w:val="24"/>
                <w:shd w:val="clear" w:color="auto" w:fill="FFFFFF"/>
              </w:rPr>
              <w:t>Udzielanie wsparcia osobom narażonym na dyskryminację ze względu na cechy prawnie chronione ze szczególnym uwzględnieniem dyskryminacji ze względu na orientację seksualną.</w:t>
            </w:r>
          </w:p>
        </w:tc>
      </w:tr>
      <w:tr w:rsidR="00FA63B3" w:rsidRPr="00D56E98" w14:paraId="462C37B3" w14:textId="77777777" w:rsidTr="00FA63B3">
        <w:trPr>
          <w:trHeight w:val="330"/>
        </w:trPr>
        <w:tc>
          <w:tcPr>
            <w:tcW w:w="1560" w:type="dxa"/>
            <w:shd w:val="clear" w:color="auto" w:fill="D9D9D9" w:themeFill="background1" w:themeFillShade="D9"/>
          </w:tcPr>
          <w:p w14:paraId="36ADBB90" w14:textId="179EE508" w:rsidR="00FA63B3" w:rsidRPr="00D56E98" w:rsidRDefault="00FA63B3" w:rsidP="00FA63B3">
            <w:pPr>
              <w:spacing w:after="0"/>
              <w:rPr>
                <w:rFonts w:cstheme="minorHAnsi"/>
                <w:sz w:val="24"/>
                <w:szCs w:val="24"/>
                <w:shd w:val="clear" w:color="auto" w:fill="FFFFFF"/>
              </w:rPr>
            </w:pPr>
            <w:r w:rsidRPr="00D56E98">
              <w:rPr>
                <w:rFonts w:cstheme="minorHAnsi"/>
                <w:sz w:val="24"/>
                <w:szCs w:val="24"/>
                <w:highlight w:val="lightGray"/>
                <w:shd w:val="clear" w:color="auto" w:fill="FFFFFF"/>
              </w:rPr>
              <w:t xml:space="preserve">13.50 – 14.00 </w:t>
            </w:r>
          </w:p>
        </w:tc>
        <w:tc>
          <w:tcPr>
            <w:tcW w:w="8079" w:type="dxa"/>
            <w:shd w:val="clear" w:color="auto" w:fill="D9D9D9" w:themeFill="background1" w:themeFillShade="D9"/>
          </w:tcPr>
          <w:p w14:paraId="420147CC" w14:textId="077AA927" w:rsidR="00FA63B3" w:rsidRPr="00D56E98" w:rsidRDefault="00FA63B3" w:rsidP="00FA63B3">
            <w:pPr>
              <w:spacing w:after="0"/>
              <w:rPr>
                <w:rFonts w:cstheme="minorHAnsi"/>
                <w:b/>
                <w:bCs/>
                <w:sz w:val="24"/>
                <w:szCs w:val="24"/>
                <w:shd w:val="clear" w:color="auto" w:fill="FFFFFF"/>
              </w:rPr>
            </w:pPr>
            <w:r w:rsidRPr="00D56E98">
              <w:rPr>
                <w:rFonts w:cstheme="minorHAnsi"/>
                <w:sz w:val="24"/>
                <w:szCs w:val="24"/>
                <w:highlight w:val="lightGray"/>
                <w:shd w:val="clear" w:color="auto" w:fill="FFFFFF"/>
              </w:rPr>
              <w:t xml:space="preserve">Przerwa </w:t>
            </w:r>
          </w:p>
        </w:tc>
      </w:tr>
      <w:tr w:rsidR="00FA63B3" w:rsidRPr="00D56E98" w14:paraId="514EE41C" w14:textId="77777777" w:rsidTr="00FA63B3">
        <w:trPr>
          <w:trHeight w:val="1071"/>
        </w:trPr>
        <w:tc>
          <w:tcPr>
            <w:tcW w:w="1560" w:type="dxa"/>
          </w:tcPr>
          <w:p w14:paraId="2A261AEF" w14:textId="2F25588A" w:rsidR="00FA63B3" w:rsidRPr="00D56E98" w:rsidRDefault="00FA63B3" w:rsidP="00FA63B3">
            <w:pPr>
              <w:spacing w:after="0"/>
              <w:rPr>
                <w:rFonts w:cstheme="minorHAnsi"/>
                <w:sz w:val="24"/>
                <w:szCs w:val="24"/>
                <w:shd w:val="clear" w:color="auto" w:fill="FFFFFF"/>
              </w:rPr>
            </w:pPr>
            <w:r w:rsidRPr="00D56E98">
              <w:rPr>
                <w:rFonts w:cstheme="minorHAnsi"/>
                <w:sz w:val="24"/>
                <w:szCs w:val="24"/>
                <w:shd w:val="clear" w:color="auto" w:fill="FFFFFF"/>
              </w:rPr>
              <w:t xml:space="preserve">14.00 – 14.45 </w:t>
            </w:r>
          </w:p>
          <w:p w14:paraId="4B182789" w14:textId="77777777" w:rsidR="00FA63B3" w:rsidRPr="00D56E98" w:rsidRDefault="00FA63B3" w:rsidP="00FA63B3">
            <w:pPr>
              <w:spacing w:after="0"/>
              <w:rPr>
                <w:rFonts w:cstheme="minorHAnsi"/>
                <w:sz w:val="24"/>
                <w:szCs w:val="24"/>
                <w:shd w:val="clear" w:color="auto" w:fill="FFFFFF"/>
              </w:rPr>
            </w:pPr>
          </w:p>
        </w:tc>
        <w:tc>
          <w:tcPr>
            <w:tcW w:w="8079" w:type="dxa"/>
          </w:tcPr>
          <w:p w14:paraId="2549C914" w14:textId="636190D0" w:rsidR="00FA63B3" w:rsidRPr="00D56E98" w:rsidRDefault="00AC19C5" w:rsidP="00FA63B3">
            <w:pPr>
              <w:spacing w:after="0"/>
              <w:rPr>
                <w:rFonts w:cstheme="minorHAnsi"/>
                <w:sz w:val="24"/>
                <w:szCs w:val="24"/>
                <w:shd w:val="clear" w:color="auto" w:fill="FFFFFF"/>
              </w:rPr>
            </w:pPr>
            <w:r w:rsidRPr="00D56E98">
              <w:rPr>
                <w:rFonts w:cstheme="minorHAnsi"/>
                <w:sz w:val="24"/>
                <w:szCs w:val="24"/>
                <w:shd w:val="clear" w:color="auto" w:fill="FFFFFF"/>
              </w:rPr>
              <w:t xml:space="preserve">Zagadnienie mowy nienawiści i zagrożeń płynących z jej upowszechniania. </w:t>
            </w:r>
          </w:p>
          <w:p w14:paraId="15574EB1" w14:textId="77777777" w:rsidR="00665097" w:rsidRPr="00D56E98" w:rsidRDefault="00AC19C5" w:rsidP="00FA63B3">
            <w:pPr>
              <w:spacing w:after="0"/>
              <w:rPr>
                <w:rFonts w:cstheme="minorHAnsi"/>
                <w:sz w:val="24"/>
                <w:szCs w:val="24"/>
              </w:rPr>
            </w:pPr>
            <w:r w:rsidRPr="00D56E98">
              <w:rPr>
                <w:rFonts w:cstheme="minorHAnsi"/>
                <w:sz w:val="24"/>
                <w:szCs w:val="24"/>
                <w:shd w:val="clear" w:color="auto" w:fill="FFFFFF"/>
              </w:rPr>
              <w:t xml:space="preserve">Rola pracowników pomocy społecznej w zakresie </w:t>
            </w:r>
            <w:r w:rsidR="00665097" w:rsidRPr="00D56E98">
              <w:rPr>
                <w:rFonts w:cstheme="minorHAnsi"/>
                <w:sz w:val="24"/>
                <w:szCs w:val="24"/>
                <w:shd w:val="clear" w:color="auto" w:fill="FFFFFF"/>
              </w:rPr>
              <w:t>z</w:t>
            </w:r>
            <w:r w:rsidRPr="00D56E98">
              <w:rPr>
                <w:rFonts w:cstheme="minorHAnsi"/>
                <w:sz w:val="24"/>
                <w:szCs w:val="24"/>
              </w:rPr>
              <w:t>apobiegani</w:t>
            </w:r>
            <w:r w:rsidR="00665097" w:rsidRPr="00D56E98">
              <w:rPr>
                <w:rFonts w:cstheme="minorHAnsi"/>
                <w:sz w:val="24"/>
                <w:szCs w:val="24"/>
              </w:rPr>
              <w:t>a</w:t>
            </w:r>
            <w:r w:rsidRPr="00D56E98">
              <w:rPr>
                <w:rFonts w:cstheme="minorHAnsi"/>
                <w:sz w:val="24"/>
                <w:szCs w:val="24"/>
              </w:rPr>
              <w:t xml:space="preserve"> dyskryminacji i udzielani</w:t>
            </w:r>
            <w:r w:rsidR="00665097" w:rsidRPr="00D56E98">
              <w:rPr>
                <w:rFonts w:cstheme="minorHAnsi"/>
                <w:sz w:val="24"/>
                <w:szCs w:val="24"/>
              </w:rPr>
              <w:t>a</w:t>
            </w:r>
            <w:r w:rsidRPr="00D56E98">
              <w:rPr>
                <w:rFonts w:cstheme="minorHAnsi"/>
                <w:sz w:val="24"/>
                <w:szCs w:val="24"/>
              </w:rPr>
              <w:t xml:space="preserve"> wsparcia osobom narażonym na dyskryminację</w:t>
            </w:r>
            <w:r w:rsidR="00665097" w:rsidRPr="00D56E98">
              <w:rPr>
                <w:rFonts w:cstheme="minorHAnsi"/>
                <w:sz w:val="24"/>
                <w:szCs w:val="24"/>
              </w:rPr>
              <w:t xml:space="preserve">. </w:t>
            </w:r>
          </w:p>
          <w:p w14:paraId="78B19FDD" w14:textId="1C229F40" w:rsidR="00665097" w:rsidRPr="00D56E98" w:rsidRDefault="00665097" w:rsidP="00FA63B3">
            <w:pPr>
              <w:spacing w:after="0"/>
              <w:rPr>
                <w:rFonts w:cstheme="minorHAnsi"/>
                <w:sz w:val="24"/>
                <w:szCs w:val="24"/>
                <w:shd w:val="clear" w:color="auto" w:fill="FFFFFF"/>
              </w:rPr>
            </w:pPr>
            <w:r w:rsidRPr="00D56E98">
              <w:rPr>
                <w:rFonts w:cstheme="minorHAnsi"/>
                <w:sz w:val="24"/>
                <w:szCs w:val="24"/>
              </w:rPr>
              <w:t xml:space="preserve">Przeprowadzenie post testu </w:t>
            </w:r>
            <w:r w:rsidRPr="00D56E98">
              <w:rPr>
                <w:rFonts w:cstheme="minorHAnsi"/>
                <w:sz w:val="24"/>
                <w:szCs w:val="24"/>
                <w:shd w:val="clear" w:color="auto" w:fill="FFFFFF"/>
              </w:rPr>
              <w:t>– spełnienie wymogów związanych z realizacją projektu</w:t>
            </w:r>
            <w:r w:rsidRPr="00D56E98">
              <w:rPr>
                <w:rFonts w:cstheme="minorHAnsi"/>
                <w:sz w:val="24"/>
                <w:szCs w:val="24"/>
              </w:rPr>
              <w:t>. Podsumowanie szkolenia.</w:t>
            </w:r>
            <w:r w:rsidR="00AC19C5" w:rsidRPr="00D56E98">
              <w:rPr>
                <w:rFonts w:cstheme="minorHAnsi"/>
                <w:sz w:val="24"/>
                <w:szCs w:val="24"/>
                <w:shd w:val="clear" w:color="auto" w:fill="FFFFFF"/>
              </w:rPr>
              <w:t xml:space="preserve"> </w:t>
            </w:r>
          </w:p>
        </w:tc>
      </w:tr>
    </w:tbl>
    <w:p w14:paraId="79597297" w14:textId="77777777" w:rsidR="00FA63B3" w:rsidRPr="00D56E98" w:rsidRDefault="00FA63B3" w:rsidP="00FA63B3">
      <w:pPr>
        <w:rPr>
          <w:rFonts w:ascii="Calibri" w:hAnsi="Calibri" w:cs="Calibri"/>
          <w:b/>
          <w:bCs/>
          <w:color w:val="333333"/>
          <w:sz w:val="24"/>
          <w:szCs w:val="24"/>
          <w:shd w:val="clear" w:color="auto" w:fill="FFFFFF"/>
        </w:rPr>
      </w:pPr>
    </w:p>
    <w:p w14:paraId="7F20900A" w14:textId="77777777" w:rsidR="00FA63B3" w:rsidRPr="00D56E98" w:rsidRDefault="00FA63B3">
      <w:pPr>
        <w:rPr>
          <w:sz w:val="24"/>
          <w:szCs w:val="24"/>
        </w:rPr>
      </w:pPr>
    </w:p>
    <w:sectPr w:rsidR="00FA63B3" w:rsidRPr="00D56E9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2014" w14:textId="77777777" w:rsidR="00A87BC2" w:rsidRDefault="00A87BC2" w:rsidP="00A87BC2">
      <w:pPr>
        <w:spacing w:after="0" w:line="240" w:lineRule="auto"/>
      </w:pPr>
      <w:r>
        <w:separator/>
      </w:r>
    </w:p>
  </w:endnote>
  <w:endnote w:type="continuationSeparator" w:id="0">
    <w:p w14:paraId="49B7FAD7" w14:textId="77777777" w:rsidR="00A87BC2" w:rsidRDefault="00A87BC2" w:rsidP="00A8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EC4B" w14:textId="31EC1D8C" w:rsidR="00A87BC2" w:rsidRDefault="009862A1" w:rsidP="007C34DD">
    <w:pPr>
      <w:pStyle w:val="Stopka"/>
      <w:jc w:val="center"/>
    </w:pPr>
    <w:r w:rsidRPr="00000747">
      <w:rPr>
        <w:noProof/>
      </w:rPr>
      <w:drawing>
        <wp:inline distT="0" distB="0" distL="0" distR="0" wp14:anchorId="4A3642E0" wp14:editId="1EB05C00">
          <wp:extent cx="5144135" cy="709360"/>
          <wp:effectExtent l="0" t="0" r="0" b="0"/>
          <wp:docPr id="14529096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135" cy="7093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7CF8" w14:textId="77777777" w:rsidR="00A87BC2" w:rsidRDefault="00A87BC2" w:rsidP="00A87BC2">
      <w:pPr>
        <w:spacing w:after="0" w:line="240" w:lineRule="auto"/>
      </w:pPr>
      <w:r>
        <w:separator/>
      </w:r>
    </w:p>
  </w:footnote>
  <w:footnote w:type="continuationSeparator" w:id="0">
    <w:p w14:paraId="5D94C3FC" w14:textId="77777777" w:rsidR="00A87BC2" w:rsidRDefault="00A87BC2" w:rsidP="00A87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4A0" w:firstRow="1" w:lastRow="0" w:firstColumn="1" w:lastColumn="0" w:noHBand="0" w:noVBand="1"/>
    </w:tblPr>
    <w:tblGrid>
      <w:gridCol w:w="1680"/>
      <w:gridCol w:w="7440"/>
    </w:tblGrid>
    <w:tr w:rsidR="00A87BC2" w14:paraId="5A2E6060" w14:textId="77777777" w:rsidTr="00304710">
      <w:trPr>
        <w:trHeight w:val="534"/>
        <w:jc w:val="center"/>
      </w:trPr>
      <w:tc>
        <w:tcPr>
          <w:tcW w:w="1680" w:type="dxa"/>
          <w:tcBorders>
            <w:top w:val="nil"/>
            <w:left w:val="nil"/>
            <w:bottom w:val="double" w:sz="2" w:space="0" w:color="000000"/>
            <w:right w:val="nil"/>
          </w:tcBorders>
          <w:vAlign w:val="center"/>
          <w:hideMark/>
        </w:tcPr>
        <w:p w14:paraId="66357BDF" w14:textId="77777777" w:rsidR="00A87BC2" w:rsidRDefault="00A87BC2" w:rsidP="00A87BC2">
          <w:pPr>
            <w:pStyle w:val="Nagwek"/>
            <w:snapToGrid w:val="0"/>
            <w:spacing w:line="256" w:lineRule="auto"/>
            <w:ind w:left="-108" w:right="-108"/>
            <w:jc w:val="both"/>
            <w:rPr>
              <w:rFonts w:ascii="Arial" w:hAnsi="Arial" w:cs="Arial"/>
              <w:b/>
              <w:w w:val="75"/>
              <w:sz w:val="24"/>
              <w:szCs w:val="23"/>
              <w:lang w:eastAsia="ar-SA"/>
            </w:rPr>
          </w:pPr>
          <w:r>
            <w:rPr>
              <w:rFonts w:ascii="Arial" w:hAnsi="Arial" w:cs="Arial"/>
              <w:b/>
              <w:noProof/>
              <w:w w:val="75"/>
              <w:sz w:val="24"/>
              <w:szCs w:val="23"/>
            </w:rPr>
            <w:drawing>
              <wp:inline distT="0" distB="0" distL="0" distR="0" wp14:anchorId="19DBD0A4" wp14:editId="20DFDC4D">
                <wp:extent cx="929640" cy="246380"/>
                <wp:effectExtent l="0" t="0" r="3810" b="1270"/>
                <wp:docPr id="2733336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246380"/>
                        </a:xfrm>
                        <a:prstGeom prst="rect">
                          <a:avLst/>
                        </a:prstGeom>
                        <a:noFill/>
                        <a:ln>
                          <a:noFill/>
                        </a:ln>
                      </pic:spPr>
                    </pic:pic>
                  </a:graphicData>
                </a:graphic>
              </wp:inline>
            </w:drawing>
          </w:r>
        </w:p>
      </w:tc>
      <w:tc>
        <w:tcPr>
          <w:tcW w:w="7440" w:type="dxa"/>
          <w:tcBorders>
            <w:top w:val="nil"/>
            <w:left w:val="nil"/>
            <w:bottom w:val="double" w:sz="2" w:space="0" w:color="000000"/>
            <w:right w:val="nil"/>
          </w:tcBorders>
          <w:vAlign w:val="center"/>
          <w:hideMark/>
        </w:tcPr>
        <w:p w14:paraId="2CDDF5E0" w14:textId="77777777" w:rsidR="00A87BC2" w:rsidRDefault="00A87BC2" w:rsidP="00A87BC2">
          <w:pPr>
            <w:pStyle w:val="Nagwek"/>
            <w:snapToGrid w:val="0"/>
            <w:spacing w:line="256" w:lineRule="auto"/>
            <w:rPr>
              <w:rFonts w:ascii="Arial" w:hAnsi="Arial" w:cs="Arial"/>
              <w:b/>
              <w:w w:val="75"/>
              <w:sz w:val="24"/>
              <w:szCs w:val="23"/>
              <w:lang w:eastAsia="ar-SA"/>
            </w:rPr>
          </w:pPr>
          <w:r>
            <w:rPr>
              <w:rFonts w:ascii="Arial" w:hAnsi="Arial" w:cs="Arial"/>
              <w:b/>
              <w:w w:val="75"/>
              <w:sz w:val="24"/>
              <w:szCs w:val="23"/>
              <w:lang w:eastAsia="ar-SA"/>
            </w:rPr>
            <w:t>REGIONALNY  OŚRODEK  POLITYKI  SPOŁECZNEJ  WOJEWÓDZTWA  ŚLĄSKIEGO</w:t>
          </w:r>
        </w:p>
      </w:tc>
    </w:tr>
    <w:tr w:rsidR="00A87BC2" w14:paraId="2ABFC456" w14:textId="77777777" w:rsidTr="00304710">
      <w:trPr>
        <w:trHeight w:val="529"/>
        <w:jc w:val="center"/>
      </w:trPr>
      <w:tc>
        <w:tcPr>
          <w:tcW w:w="9120" w:type="dxa"/>
          <w:gridSpan w:val="2"/>
          <w:vAlign w:val="center"/>
          <w:hideMark/>
        </w:tcPr>
        <w:p w14:paraId="40342016" w14:textId="77777777" w:rsidR="00A87BC2" w:rsidRDefault="00A87BC2" w:rsidP="00A87BC2">
          <w:pPr>
            <w:pStyle w:val="Nagwek"/>
            <w:tabs>
              <w:tab w:val="right" w:pos="9144"/>
            </w:tabs>
            <w:snapToGrid w:val="0"/>
            <w:spacing w:line="256" w:lineRule="auto"/>
            <w:jc w:val="center"/>
            <w:rPr>
              <w:rFonts w:cstheme="minorHAnsi"/>
              <w:iCs/>
              <w:spacing w:val="34"/>
              <w:sz w:val="16"/>
              <w:szCs w:val="16"/>
              <w:lang w:eastAsia="ar-SA"/>
            </w:rPr>
          </w:pPr>
          <w:r>
            <w:rPr>
              <w:rFonts w:cstheme="minorHAnsi"/>
              <w:spacing w:val="34"/>
              <w:sz w:val="16"/>
              <w:szCs w:val="16"/>
              <w:lang w:eastAsia="ar-SA"/>
            </w:rPr>
            <w:t xml:space="preserve">40-142 Katowice ● ul. Modelarska 10 ● tel. + 48 32 730 68 76  </w:t>
          </w:r>
          <w:r>
            <w:rPr>
              <w:rFonts w:cstheme="minorHAnsi"/>
              <w:spacing w:val="34"/>
              <w:sz w:val="16"/>
              <w:szCs w:val="18"/>
              <w:lang w:eastAsia="ar-SA"/>
            </w:rPr>
            <w:br/>
          </w:r>
          <w:r>
            <w:rPr>
              <w:rFonts w:cstheme="minorHAnsi"/>
              <w:spacing w:val="34"/>
              <w:sz w:val="16"/>
              <w:szCs w:val="16"/>
              <w:lang w:eastAsia="ar-SA"/>
            </w:rPr>
            <w:t>e-mail:</w:t>
          </w:r>
          <w:r>
            <w:rPr>
              <w:rFonts w:cstheme="minorHAnsi"/>
              <w:iCs/>
              <w:spacing w:val="34"/>
              <w:sz w:val="16"/>
              <w:szCs w:val="16"/>
              <w:lang w:eastAsia="ar-SA"/>
            </w:rPr>
            <w:t xml:space="preserve"> szkolenia@rops-katowice.pl ● strona internetowa: www.rops-katowice.pl</w:t>
          </w:r>
        </w:p>
      </w:tc>
    </w:tr>
  </w:tbl>
  <w:p w14:paraId="535B8101" w14:textId="77777777" w:rsidR="00A87BC2" w:rsidRDefault="00A87BC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B3"/>
    <w:rsid w:val="000F603F"/>
    <w:rsid w:val="002D3E1C"/>
    <w:rsid w:val="00322344"/>
    <w:rsid w:val="00665097"/>
    <w:rsid w:val="006B51C6"/>
    <w:rsid w:val="007125C5"/>
    <w:rsid w:val="007C34DD"/>
    <w:rsid w:val="009862A1"/>
    <w:rsid w:val="009E6E2F"/>
    <w:rsid w:val="00A87BC2"/>
    <w:rsid w:val="00AC19C5"/>
    <w:rsid w:val="00D56E98"/>
    <w:rsid w:val="00EF22AB"/>
    <w:rsid w:val="00FA6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6E4A"/>
  <w15:chartTrackingRefBased/>
  <w15:docId w15:val="{772C0BE7-AAD8-451A-B369-8AFF7E1C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63B3"/>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A63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87B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7BC2"/>
    <w:rPr>
      <w:kern w:val="0"/>
      <w14:ligatures w14:val="none"/>
    </w:rPr>
  </w:style>
  <w:style w:type="paragraph" w:styleId="Stopka">
    <w:name w:val="footer"/>
    <w:basedOn w:val="Normalny"/>
    <w:link w:val="StopkaZnak"/>
    <w:uiPriority w:val="99"/>
    <w:unhideWhenUsed/>
    <w:rsid w:val="00A87B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7BC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1651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DP. Polakowski</dc:creator>
  <cp:keywords/>
  <dc:description/>
  <cp:lastModifiedBy>Dariusz DP. Polakowski</cp:lastModifiedBy>
  <cp:revision>4</cp:revision>
  <cp:lastPrinted>2025-01-13T13:43:00Z</cp:lastPrinted>
  <dcterms:created xsi:type="dcterms:W3CDTF">2025-01-13T13:44:00Z</dcterms:created>
  <dcterms:modified xsi:type="dcterms:W3CDTF">2025-01-13T13:47:00Z</dcterms:modified>
</cp:coreProperties>
</file>